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722"/>
        <w:gridCol w:w="4536"/>
      </w:tblGrid>
      <w:tr w:rsidR="00D56628">
        <w:tc>
          <w:tcPr>
            <w:tcW w:w="4786" w:type="dxa"/>
          </w:tcPr>
          <w:p w:rsidR="00D56628" w:rsidRDefault="00D56628">
            <w:pPr>
              <w:pStyle w:val="a3"/>
              <w:tabs>
                <w:tab w:val="left" w:pos="7230"/>
              </w:tabs>
              <w:rPr>
                <w:b/>
                <w:sz w:val="12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 xml:space="preserve">МИНИСТЕРСТВО </w:t>
            </w:r>
            <w:r>
              <w:rPr>
                <w:b/>
                <w:caps/>
                <w:sz w:val="24"/>
              </w:rPr>
              <w:t>ПРОСВЕЩЕНИЯ</w:t>
            </w:r>
            <w:r>
              <w:rPr>
                <w:b/>
                <w:caps/>
                <w:sz w:val="24"/>
              </w:rPr>
              <w:br/>
            </w:r>
            <w:r>
              <w:rPr>
                <w:b/>
                <w:sz w:val="24"/>
              </w:rPr>
              <w:t>РОССИЙСКОЙ ФЕДЕРАЦИИ</w:t>
            </w:r>
            <w:r>
              <w:rPr>
                <w:b/>
                <w:sz w:val="24"/>
              </w:rPr>
              <w:br/>
            </w:r>
          </w:p>
          <w:p w:rsidR="00D56628" w:rsidRDefault="00D56628">
            <w:pPr>
              <w:pStyle w:val="a3"/>
              <w:tabs>
                <w:tab w:val="left" w:pos="7230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(МИНПРОСВЕЩЕНИЯ РОССИИ)</w:t>
            </w:r>
          </w:p>
        </w:tc>
        <w:tc>
          <w:tcPr>
            <w:tcW w:w="722" w:type="dxa"/>
          </w:tcPr>
          <w:p w:rsidR="00D56628" w:rsidRDefault="00D56628">
            <w:pPr>
              <w:tabs>
                <w:tab w:val="left" w:pos="7230"/>
              </w:tabs>
              <w:jc w:val="center"/>
              <w:rPr>
                <w:b/>
                <w:sz w:val="24"/>
              </w:rPr>
            </w:pPr>
          </w:p>
        </w:tc>
        <w:tc>
          <w:tcPr>
            <w:tcW w:w="4536" w:type="dxa"/>
          </w:tcPr>
          <w:p w:rsidR="009F06A7" w:rsidRDefault="009F06A7" w:rsidP="009F06A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ind w:right="-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ФЕДЕРАЛЬНАЯ СЛУЖБА </w:t>
            </w:r>
          </w:p>
          <w:p w:rsidR="009F06A7" w:rsidRDefault="009F06A7" w:rsidP="009F06A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ind w:right="-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 НАДЗОРУ В СФЕРЕ</w:t>
            </w:r>
          </w:p>
          <w:p w:rsidR="009F06A7" w:rsidRDefault="009F06A7" w:rsidP="009F06A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ind w:right="-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 И НАУКИ</w:t>
            </w:r>
          </w:p>
          <w:p w:rsidR="009F06A7" w:rsidRDefault="009F06A7" w:rsidP="009F06A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ind w:right="-378"/>
              <w:jc w:val="center"/>
              <w:rPr>
                <w:b/>
                <w:sz w:val="12"/>
                <w:szCs w:val="12"/>
              </w:rPr>
            </w:pPr>
          </w:p>
          <w:p w:rsidR="00D56628" w:rsidRDefault="009F06A7" w:rsidP="009F06A7">
            <w:pPr>
              <w:tabs>
                <w:tab w:val="left" w:pos="7230"/>
              </w:tabs>
              <w:ind w:right="-3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(РОСОБРНАДЗОР)</w:t>
            </w:r>
          </w:p>
        </w:tc>
      </w:tr>
    </w:tbl>
    <w:p w:rsidR="00D56628" w:rsidRDefault="00D56628">
      <w:pPr>
        <w:tabs>
          <w:tab w:val="left" w:pos="7230"/>
        </w:tabs>
        <w:jc w:val="both"/>
        <w:rPr>
          <w:sz w:val="28"/>
        </w:rPr>
      </w:pPr>
    </w:p>
    <w:p w:rsidR="00D56628" w:rsidRDefault="00D56628">
      <w:pPr>
        <w:pStyle w:val="1"/>
        <w:outlineLvl w:val="0"/>
        <w:rPr>
          <w:b/>
        </w:rPr>
      </w:pPr>
      <w:proofErr w:type="gramStart"/>
      <w:r>
        <w:rPr>
          <w:b/>
        </w:rPr>
        <w:t>П</w:t>
      </w:r>
      <w:proofErr w:type="gramEnd"/>
      <w:r>
        <w:rPr>
          <w:b/>
        </w:rPr>
        <w:t xml:space="preserve"> Р И К А З </w:t>
      </w:r>
    </w:p>
    <w:p w:rsidR="00D56628" w:rsidRDefault="00D56628">
      <w:pPr>
        <w:spacing w:line="240" w:lineRule="atLeast"/>
        <w:jc w:val="center"/>
        <w:rPr>
          <w:rFonts w:ascii="JournalSans" w:hAnsi="JournalSans"/>
          <w:sz w:val="16"/>
        </w:rPr>
      </w:pPr>
    </w:p>
    <w:p w:rsidR="00FC26F0" w:rsidRPr="00FC26F0" w:rsidRDefault="00FC26F0" w:rsidP="00FC26F0">
      <w:pPr>
        <w:tabs>
          <w:tab w:val="left" w:pos="851"/>
          <w:tab w:val="left" w:pos="3119"/>
          <w:tab w:val="left" w:pos="7650"/>
          <w:tab w:val="left" w:pos="9645"/>
        </w:tabs>
        <w:suppressAutoHyphens/>
        <w:spacing w:line="100" w:lineRule="atLeast"/>
        <w:rPr>
          <w:lang w:eastAsia="zh-CN"/>
        </w:rPr>
      </w:pPr>
      <w:r w:rsidRPr="00FC26F0">
        <w:rPr>
          <w:sz w:val="28"/>
          <w:szCs w:val="28"/>
          <w:lang w:eastAsia="ar-SA"/>
        </w:rPr>
        <w:t xml:space="preserve"> «</w:t>
      </w:r>
      <w:r w:rsidRPr="00FC26F0">
        <w:rPr>
          <w:sz w:val="28"/>
          <w:szCs w:val="28"/>
          <w:u w:val="single"/>
          <w:lang w:val="en-US" w:eastAsia="ar-SA"/>
        </w:rPr>
        <w:t xml:space="preserve"> </w:t>
      </w:r>
      <w:r w:rsidRPr="00FC26F0">
        <w:rPr>
          <w:sz w:val="28"/>
          <w:szCs w:val="28"/>
          <w:u w:val="single"/>
          <w:lang w:eastAsia="ar-SA"/>
        </w:rPr>
        <w:tab/>
      </w:r>
      <w:r w:rsidRPr="00FC26F0">
        <w:rPr>
          <w:sz w:val="28"/>
          <w:szCs w:val="28"/>
          <w:lang w:eastAsia="ar-SA"/>
        </w:rPr>
        <w:t xml:space="preserve">» </w:t>
      </w:r>
      <w:r w:rsidRPr="00FC26F0">
        <w:rPr>
          <w:sz w:val="28"/>
          <w:szCs w:val="28"/>
          <w:u w:val="single"/>
          <w:lang w:eastAsia="ar-SA"/>
        </w:rPr>
        <w:t>МШРГ-</w:t>
      </w:r>
      <w:r w:rsidRPr="00FC26F0">
        <w:rPr>
          <w:sz w:val="28"/>
          <w:szCs w:val="28"/>
          <w:u w:val="single"/>
          <w:lang w:val="x-none" w:eastAsia="ar-SA"/>
        </w:rPr>
        <w:t>4</w:t>
      </w:r>
      <w:r w:rsidRPr="00FC26F0">
        <w:rPr>
          <w:sz w:val="28"/>
          <w:szCs w:val="28"/>
          <w:u w:val="single"/>
          <w:lang w:eastAsia="ar-SA"/>
        </w:rPr>
        <w:tab/>
      </w:r>
      <w:r w:rsidRPr="00FC26F0">
        <w:rPr>
          <w:sz w:val="28"/>
          <w:szCs w:val="28"/>
          <w:lang w:eastAsia="ar-SA"/>
        </w:rPr>
        <w:t xml:space="preserve"> </w:t>
      </w:r>
      <w:r w:rsidRPr="00FC26F0">
        <w:rPr>
          <w:sz w:val="28"/>
          <w:szCs w:val="28"/>
          <w:lang w:val="en-US" w:eastAsia="ar-SA"/>
        </w:rPr>
        <w:t>20</w:t>
      </w:r>
      <w:r w:rsidRPr="00FC26F0">
        <w:rPr>
          <w:sz w:val="28"/>
          <w:szCs w:val="28"/>
          <w:lang w:eastAsia="ar-SA"/>
        </w:rPr>
        <w:t>20 г.</w:t>
      </w:r>
      <w:r w:rsidRPr="00FC26F0">
        <w:rPr>
          <w:sz w:val="28"/>
          <w:szCs w:val="28"/>
          <w:lang w:eastAsia="ar-SA"/>
        </w:rPr>
        <w:tab/>
        <w:t>№</w:t>
      </w:r>
      <w:r w:rsidRPr="00FC26F0">
        <w:rPr>
          <w:sz w:val="28"/>
          <w:szCs w:val="28"/>
          <w:lang w:val="en-US" w:eastAsia="ar-SA"/>
        </w:rPr>
        <w:t xml:space="preserve"> </w:t>
      </w:r>
      <w:r w:rsidRPr="00FC26F0">
        <w:rPr>
          <w:sz w:val="28"/>
          <w:szCs w:val="28"/>
          <w:u w:val="single"/>
          <w:lang w:val="en-US" w:eastAsia="ar-SA"/>
        </w:rPr>
        <w:t xml:space="preserve"> </w:t>
      </w:r>
      <w:r w:rsidRPr="00FC26F0">
        <w:rPr>
          <w:sz w:val="28"/>
          <w:szCs w:val="28"/>
          <w:u w:val="single"/>
          <w:lang w:eastAsia="ar-SA"/>
        </w:rPr>
        <w:tab/>
      </w:r>
    </w:p>
    <w:p w:rsidR="00D56628" w:rsidRDefault="00D56628">
      <w:pPr>
        <w:tabs>
          <w:tab w:val="left" w:pos="1134"/>
        </w:tabs>
        <w:suppressAutoHyphens/>
        <w:spacing w:line="100" w:lineRule="atLeast"/>
        <w:jc w:val="center"/>
        <w:rPr>
          <w:sz w:val="16"/>
          <w:lang w:eastAsia="ar-SA"/>
        </w:rPr>
      </w:pPr>
    </w:p>
    <w:p w:rsidR="00D56628" w:rsidRDefault="00D56628">
      <w:pPr>
        <w:tabs>
          <w:tab w:val="left" w:pos="1276"/>
        </w:tabs>
        <w:suppressAutoHyphens/>
        <w:spacing w:line="100" w:lineRule="atLeast"/>
        <w:jc w:val="center"/>
        <w:rPr>
          <w:sz w:val="28"/>
          <w:lang w:eastAsia="ar-SA"/>
        </w:rPr>
      </w:pPr>
      <w:r>
        <w:rPr>
          <w:sz w:val="28"/>
          <w:lang w:eastAsia="ar-SA"/>
        </w:rPr>
        <w:t>Москва</w:t>
      </w:r>
    </w:p>
    <w:p w:rsidR="00D56628" w:rsidRDefault="00D56628"/>
    <w:p w:rsidR="00D56628" w:rsidRDefault="00D56628"/>
    <w:p w:rsidR="00A810BB" w:rsidRDefault="00A810BB" w:rsidP="00A810BB">
      <w:pPr>
        <w:tabs>
          <w:tab w:val="left" w:pos="-10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утверждении единого расписания </w:t>
      </w:r>
      <w:r>
        <w:rPr>
          <w:b/>
          <w:sz w:val="28"/>
          <w:szCs w:val="28"/>
        </w:rPr>
        <w:br/>
        <w:t xml:space="preserve">и продолжительности проведения основного государственного экзамена </w:t>
      </w:r>
      <w:r>
        <w:rPr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 при его проведении в 2021 году</w:t>
      </w:r>
    </w:p>
    <w:p w:rsidR="00A810BB" w:rsidRDefault="00A810BB" w:rsidP="00A810BB">
      <w:pPr>
        <w:jc w:val="center"/>
        <w:rPr>
          <w:sz w:val="24"/>
        </w:rPr>
      </w:pPr>
    </w:p>
    <w:p w:rsidR="00A810BB" w:rsidRPr="0096039C" w:rsidRDefault="00A810BB" w:rsidP="00A810BB">
      <w:pPr>
        <w:autoSpaceDE w:val="0"/>
        <w:autoSpaceDN w:val="0"/>
        <w:adjustRightInd w:val="0"/>
        <w:spacing w:line="360" w:lineRule="auto"/>
        <w:ind w:firstLine="709"/>
        <w:contextualSpacing/>
        <w:jc w:val="both"/>
        <w:rPr>
          <w:rFonts w:eastAsia="Calibri"/>
          <w:sz w:val="28"/>
          <w:szCs w:val="22"/>
          <w:lang w:eastAsia="en-US"/>
        </w:rPr>
      </w:pPr>
      <w:r>
        <w:rPr>
          <w:sz w:val="28"/>
        </w:rPr>
        <w:t xml:space="preserve">В соответствии </w:t>
      </w:r>
      <w:r w:rsidRPr="0096039C">
        <w:rPr>
          <w:sz w:val="28"/>
        </w:rPr>
        <w:t xml:space="preserve">с </w:t>
      </w:r>
      <w:hyperlink r:id="rId5" w:history="1">
        <w:r w:rsidRPr="0096039C">
          <w:rPr>
            <w:rStyle w:val="a4"/>
            <w:color w:val="auto"/>
            <w:sz w:val="28"/>
            <w:u w:val="none"/>
          </w:rPr>
          <w:t>частью 5 статьи 59</w:t>
        </w:r>
      </w:hyperlink>
      <w:r w:rsidRPr="0096039C">
        <w:rPr>
          <w:sz w:val="28"/>
        </w:rPr>
        <w:t xml:space="preserve"> Федерального закона </w:t>
      </w:r>
      <w:r w:rsidRPr="0096039C">
        <w:rPr>
          <w:sz w:val="28"/>
        </w:rPr>
        <w:br/>
        <w:t xml:space="preserve">от 29 декабря 2012 г. № 273-ФЗ «Об образовании в Российской Федерации» (Собрание законодательства Российской Федерации, 2012, № 53, ст. 7598; </w:t>
      </w:r>
      <w:r w:rsidRPr="0096039C">
        <w:rPr>
          <w:sz w:val="28"/>
        </w:rPr>
        <w:br/>
        <w:t xml:space="preserve">2019, № 30, ст. 4134), </w:t>
      </w:r>
      <w:r w:rsidR="00B339A7" w:rsidRPr="0096039C">
        <w:rPr>
          <w:sz w:val="28"/>
        </w:rPr>
        <w:t xml:space="preserve">пунктом 1 и </w:t>
      </w:r>
      <w:hyperlink r:id="rId6" w:history="1">
        <w:r w:rsidRPr="0096039C">
          <w:rPr>
            <w:rStyle w:val="a4"/>
            <w:color w:val="auto"/>
            <w:sz w:val="28"/>
            <w:u w:val="none"/>
          </w:rPr>
          <w:t>подпунктом 4.2.25</w:t>
        </w:r>
      </w:hyperlink>
      <w:r w:rsidRPr="0096039C">
        <w:rPr>
          <w:sz w:val="28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№ 884 (Собрание законодательства Российской Федерации, 2018, № 32, ст. 5343; </w:t>
      </w:r>
      <w:proofErr w:type="gramStart"/>
      <w:r w:rsidRPr="0096039C">
        <w:rPr>
          <w:sz w:val="28"/>
        </w:rPr>
        <w:t xml:space="preserve">2019, № 51, ст. 7631), </w:t>
      </w:r>
      <w:r w:rsidR="00B339A7" w:rsidRPr="0096039C">
        <w:rPr>
          <w:sz w:val="28"/>
        </w:rPr>
        <w:t xml:space="preserve">пунктом 1 и </w:t>
      </w:r>
      <w:hyperlink r:id="rId7" w:history="1">
        <w:r w:rsidRPr="0096039C">
          <w:rPr>
            <w:rStyle w:val="a4"/>
            <w:color w:val="auto"/>
            <w:sz w:val="28"/>
            <w:u w:val="none"/>
          </w:rPr>
          <w:t>подпунктом 5.2.7</w:t>
        </w:r>
      </w:hyperlink>
      <w:r w:rsidRPr="0096039C">
        <w:rPr>
          <w:sz w:val="28"/>
        </w:rPr>
        <w:t xml:space="preserve"> 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 (Собрание законодательства Российской Федерации, 2018, № 32, ст. 5344; 2019, № 51, ст. 7643), приказываем:</w:t>
      </w:r>
      <w:proofErr w:type="gramEnd"/>
    </w:p>
    <w:p w:rsidR="00A810BB" w:rsidRPr="0096039C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 w:rsidRPr="0096039C">
        <w:rPr>
          <w:sz w:val="28"/>
        </w:rPr>
        <w:t>1. Утвердить следующее расписание проведения основного государственного экзамена (далее – ОГЭ) в 2021 году:</w:t>
      </w:r>
    </w:p>
    <w:p w:rsidR="00A810BB" w:rsidRPr="0096039C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 w:rsidRPr="0096039C">
        <w:rPr>
          <w:sz w:val="28"/>
        </w:rPr>
        <w:t xml:space="preserve">1.1. </w:t>
      </w:r>
      <w:proofErr w:type="gramStart"/>
      <w:r w:rsidRPr="0096039C">
        <w:rPr>
          <w:sz w:val="28"/>
        </w:rPr>
        <w:t xml:space="preserve">Для лиц, указанных в </w:t>
      </w:r>
      <w:hyperlink r:id="rId8" w:history="1">
        <w:r w:rsidRPr="0096039C">
          <w:rPr>
            <w:rStyle w:val="a4"/>
            <w:color w:val="auto"/>
            <w:sz w:val="28"/>
            <w:u w:val="none"/>
          </w:rPr>
          <w:t>пунктах 5</w:t>
        </w:r>
      </w:hyperlink>
      <w:r w:rsidRPr="0096039C">
        <w:rPr>
          <w:sz w:val="28"/>
        </w:rPr>
        <w:t xml:space="preserve"> и 11 Порядка проведения государственной итоговой аттестации по образовательным программам основного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 w:rsidRPr="0096039C">
        <w:rPr>
          <w:sz w:val="28"/>
        </w:rPr>
        <w:br/>
        <w:t xml:space="preserve">и науки от 7 ноября 2018 г. № 189/1513 (зарегистрирован Министерством юстиции Российской Федерации 10 декабря 2018 г., регистрационный № 52953) </w:t>
      </w:r>
      <w:r w:rsidRPr="0096039C">
        <w:rPr>
          <w:sz w:val="28"/>
        </w:rPr>
        <w:br/>
        <w:t>(далее – Порядок проведения ГИА):</w:t>
      </w:r>
      <w:proofErr w:type="gramEnd"/>
    </w:p>
    <w:p w:rsidR="00A810BB" w:rsidRPr="0096039C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 w:rsidRPr="0096039C">
        <w:rPr>
          <w:sz w:val="28"/>
        </w:rPr>
        <w:lastRenderedPageBreak/>
        <w:t>21 мая (пятница) – иностранные языки (английский, французский, немецкий, испанский);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 w:rsidRPr="0096039C">
        <w:rPr>
          <w:sz w:val="28"/>
        </w:rPr>
        <w:t>22 мая (суббота) – иностранные языки</w:t>
      </w:r>
      <w:r>
        <w:rPr>
          <w:sz w:val="28"/>
        </w:rPr>
        <w:t xml:space="preserve"> (английский, французский, немецкий, испанский);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25 мая (вторник) – история, физика, биология, химия;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28 мая (пятница) – обществознание;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>1 июня (вторник) – биология, информатика и информационно-коммуникационные технологии (ИКТ), география, химия;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4 июня (пятница) – русский язык;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8 июня (вторник) – математика;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>11 июня (пятница) – литература, физика, информатика и информационно-коммуникационные технологии (ИКТ), география;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1.2. Для лиц, указанных в пункте 38 Порядка проведения ГИА: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20 апреля (вторник) – математика;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23 апреля (пятница) – русский язык;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>26 апреля (понедельник) – информатика и информационно-коммуникационные технологии (ИКТ), обществознание, химия, литература;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>29 апреля (четверг) – история, биология, физика, география, иностранные языки (английский, французский, немецкий, испанский);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1.3. Для лиц, указанных в пунктах 37 и 42 Порядка проведения ГИА: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4 мая (вторник) – математика;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>5 мая (среда) – история, биология, физика, география, иностранные языки (английский, французский, немецкий, испанский);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>6 мая (четверг) – информатика и информационно-коммуникационные технологии (ИКТ), обществознание, химия, литература;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11 мая (вторник) – русский язык;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14 мая (пятница) – по всем учебным предметам;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22 июня (вторник) – по всем учебным предметам (кроме русского языка </w:t>
      </w:r>
      <w:r>
        <w:rPr>
          <w:sz w:val="28"/>
        </w:rPr>
        <w:br/>
        <w:t>и математики);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23 июня (среда) – русский язык;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lastRenderedPageBreak/>
        <w:t xml:space="preserve">24 июня (четверг) – по всем учебным предметам (кроме русского языка </w:t>
      </w:r>
      <w:r>
        <w:rPr>
          <w:sz w:val="28"/>
        </w:rPr>
        <w:br/>
        <w:t>и математики);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28 июня (понедельник) – математика;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29 июня (вторник) – по всем учебным предметам;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 июля (четверг) – по всем учебным предметам;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16 сентября (четверг) – русский язык;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17 сентября (пятница) – по всем учебным предметам (кроме русского языка </w:t>
      </w:r>
      <w:r>
        <w:rPr>
          <w:sz w:val="28"/>
        </w:rPr>
        <w:br/>
        <w:t>и математики);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20 сентября (понедельник) – математика;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21 сентября (вторник) – по всем учебным предметам (кроме русского языка </w:t>
      </w:r>
      <w:r>
        <w:rPr>
          <w:sz w:val="28"/>
        </w:rPr>
        <w:br/>
        <w:t>и математики);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22 сентября (среда) – по всем учебным предметам;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1.4. Для лиц, указанных в пункте 76 Порядка проведения ГИА: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3 сентября (пятница) – русский язык;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6 сентября (понедельник) – математика;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9 сентября (четверг) – история, биология, физика, география;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proofErr w:type="gramStart"/>
      <w:r>
        <w:rPr>
          <w:sz w:val="28"/>
        </w:rPr>
        <w:t xml:space="preserve">13 сентября (понедельник) – обществознание, химия, информатика </w:t>
      </w:r>
      <w:r>
        <w:rPr>
          <w:sz w:val="28"/>
        </w:rPr>
        <w:br/>
        <w:t>и информационно-коммуникационные технологии (ИКТ), литература, иностранные языки (английский, французский, немецкий, испанский).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2. Установить, что: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2.1. ОГЭ по всем учебным предметам начинается в 10.00 по местному времени;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2.2. </w:t>
      </w:r>
      <w:proofErr w:type="gramStart"/>
      <w:r>
        <w:rPr>
          <w:sz w:val="28"/>
        </w:rPr>
        <w:t xml:space="preserve">Продолжительность ОГЭ по математике, русскому языку, литературе составляет 3 часа 55 минут (235 минут); по физике, обществознанию, истории, биологии, химии – 3 часа (180 минут); по информатике и информационно-коммуникационным технологиям (ИКТ), географии – 2 часа 30 минут (150 минут); иностранным языкам (английский, французский, немецкий, испанский) </w:t>
      </w:r>
      <w:r>
        <w:rPr>
          <w:sz w:val="28"/>
        </w:rPr>
        <w:br/>
        <w:t>(кроме раздела «Говорение») – 2 часа (120 минут);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по иностранным языкам (английский, французский, немецкий, испанский) (раздел «Говорение») – 15 минут;</w:t>
      </w:r>
      <w:proofErr w:type="gramEnd"/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lastRenderedPageBreak/>
        <w:t xml:space="preserve">2.3. Участники экзаменов используют средства обучения и воспитания </w:t>
      </w:r>
      <w:r>
        <w:rPr>
          <w:sz w:val="28"/>
        </w:rPr>
        <w:br/>
        <w:t xml:space="preserve">для выполнения заданий контрольных измерительных материалов </w:t>
      </w:r>
      <w:r>
        <w:rPr>
          <w:sz w:val="28"/>
        </w:rPr>
        <w:br/>
        <w:t>ОГЭ (далее – КИМ ОГЭ) в аудиториях пункта проведения экзаменов.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по русскому языку – орфографические словари, позволяющие устанавливать нормативное написание слов;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по математике – линейка, не содержащая справочной информации </w:t>
      </w:r>
      <w:r>
        <w:rPr>
          <w:sz w:val="28"/>
        </w:rPr>
        <w:br/>
        <w:t>(далее – линейка),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по физике – линейка для построения графиков, оптических и электрических схем; </w:t>
      </w:r>
      <w:proofErr w:type="gramStart"/>
      <w:r>
        <w:rPr>
          <w:sz w:val="28"/>
        </w:rPr>
        <w:t>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</w:t>
      </w:r>
      <w:proofErr w:type="spellStart"/>
      <w:r>
        <w:rPr>
          <w:sz w:val="28"/>
        </w:rPr>
        <w:t>sin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cos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tg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ctg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arcsin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arccos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arctg</w:t>
      </w:r>
      <w:proofErr w:type="spellEnd"/>
      <w:r>
        <w:rPr>
          <w:sz w:val="28"/>
        </w:rPr>
        <w:t xml:space="preserve">), а также не осуществляющий функций средства связи, хранилища базы данных и не имеющий доступ к сетям передачи данных </w:t>
      </w:r>
      <w:r>
        <w:rPr>
          <w:sz w:val="28"/>
        </w:rPr>
        <w:br/>
        <w:t xml:space="preserve">(в том числе к информационно-телекоммуникационной сети «Интернет») </w:t>
      </w:r>
      <w:r>
        <w:rPr>
          <w:sz w:val="28"/>
        </w:rPr>
        <w:br/>
        <w:t>(далее – непрограммируемый калькулятор);</w:t>
      </w:r>
      <w:proofErr w:type="gramEnd"/>
      <w:r>
        <w:rPr>
          <w:sz w:val="28"/>
        </w:rPr>
        <w:t xml:space="preserve"> лабораторное оборудование </w:t>
      </w:r>
      <w:r w:rsidR="0096039C">
        <w:rPr>
          <w:sz w:val="28"/>
        </w:rPr>
        <w:br/>
      </w:r>
      <w:r>
        <w:rPr>
          <w:sz w:val="28"/>
        </w:rPr>
        <w:t>для выполнения экспериментальн</w:t>
      </w:r>
      <w:r w:rsidR="0096039C">
        <w:rPr>
          <w:sz w:val="28"/>
        </w:rPr>
        <w:t>ых</w:t>
      </w:r>
      <w:r>
        <w:rPr>
          <w:sz w:val="28"/>
        </w:rPr>
        <w:t xml:space="preserve"> задани</w:t>
      </w:r>
      <w:r w:rsidR="0096039C">
        <w:rPr>
          <w:sz w:val="28"/>
        </w:rPr>
        <w:t>й</w:t>
      </w:r>
      <w:r>
        <w:rPr>
          <w:sz w:val="28"/>
        </w:rPr>
        <w:t xml:space="preserve"> </w:t>
      </w:r>
      <w:r w:rsidR="0096039C" w:rsidRPr="0096039C">
        <w:rPr>
          <w:sz w:val="28"/>
        </w:rPr>
        <w:t xml:space="preserve">КИМ ОГЭ </w:t>
      </w:r>
      <w:r>
        <w:rPr>
          <w:sz w:val="28"/>
        </w:rPr>
        <w:t>по проведению измерения физических величин;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по химии – непрограммируемый калькулятор; лабораторное оборудование </w:t>
      </w:r>
      <w:r>
        <w:rPr>
          <w:sz w:val="28"/>
        </w:rPr>
        <w:br/>
        <w:t>для проведения химических опытов, предусмотренных заданиями</w:t>
      </w:r>
      <w:r w:rsidR="0096039C" w:rsidRPr="0096039C">
        <w:rPr>
          <w:sz w:val="28"/>
        </w:rPr>
        <w:t xml:space="preserve"> </w:t>
      </w:r>
      <w:r w:rsidR="0096039C">
        <w:rPr>
          <w:sz w:val="28"/>
        </w:rPr>
        <w:t>КИМ ОГЭ</w:t>
      </w:r>
      <w:r>
        <w:rPr>
          <w:sz w:val="28"/>
        </w:rPr>
        <w:t>; периодическая система химических элементов Д.И. Менделеева, таблица растворимости солей, кислот и оснований в воде, электрохимический ряд напряжений металлов;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по биологии – линейка для проведения измерений при выполнении заданий </w:t>
      </w:r>
      <w:r>
        <w:rPr>
          <w:sz w:val="28"/>
        </w:rPr>
        <w:br/>
      </w:r>
      <w:r w:rsidR="0096039C" w:rsidRPr="0096039C">
        <w:rPr>
          <w:sz w:val="28"/>
        </w:rPr>
        <w:t xml:space="preserve">КИМ ОГЭ </w:t>
      </w:r>
      <w:r>
        <w:rPr>
          <w:sz w:val="28"/>
        </w:rPr>
        <w:t>с рисунками; непрограммируемый калькулятор;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lastRenderedPageBreak/>
        <w:t>по литературе – орфографические словари, позволяющие устанавливать нормативное написание слов и определять значения лексической единицы; полные тексты художественных произведений, а также сборники лирики;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по географии – линейка для измерения расстояний по топографической карте; непрограммируемый калькулятор; географические атласы для 7-9 классов для решения практических заданий</w:t>
      </w:r>
      <w:r w:rsidR="0096039C" w:rsidRPr="0096039C">
        <w:rPr>
          <w:sz w:val="28"/>
        </w:rPr>
        <w:t xml:space="preserve"> </w:t>
      </w:r>
      <w:r w:rsidR="0096039C">
        <w:rPr>
          <w:sz w:val="28"/>
        </w:rPr>
        <w:t>КИМ ОГЭ</w:t>
      </w:r>
      <w:r>
        <w:rPr>
          <w:sz w:val="28"/>
        </w:rPr>
        <w:t>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>
        <w:rPr>
          <w:sz w:val="28"/>
        </w:rPr>
        <w:br/>
        <w:t>для выполнения заданий раздела «</w:t>
      </w:r>
      <w:proofErr w:type="spellStart"/>
      <w:r>
        <w:rPr>
          <w:sz w:val="28"/>
        </w:rPr>
        <w:t>Аудирование</w:t>
      </w:r>
      <w:proofErr w:type="spellEnd"/>
      <w:r>
        <w:rPr>
          <w:sz w:val="28"/>
        </w:rPr>
        <w:t xml:space="preserve">» КИМ ОГЭ; компьютерная техника, не имеющая доступ к информационно-телекоммуникационной сети «Интернет»; </w:t>
      </w:r>
      <w:proofErr w:type="spellStart"/>
      <w:r>
        <w:rPr>
          <w:sz w:val="28"/>
        </w:rPr>
        <w:t>аудиогарнитура</w:t>
      </w:r>
      <w:proofErr w:type="spellEnd"/>
      <w:r>
        <w:rPr>
          <w:sz w:val="28"/>
        </w:rPr>
        <w:t xml:space="preserve"> для выполнения заданий раздела «Говорение» КИМ ОГЭ;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по информатике и информационно-коммуникационным технологиям </w:t>
      </w:r>
      <w:r>
        <w:rPr>
          <w:sz w:val="28"/>
        </w:rPr>
        <w:br/>
        <w:t>(ИКТ) – компьютерная техника, не имеющая доступ к информационно-телекоммуникационной сети «Интернет».</w:t>
      </w:r>
    </w:p>
    <w:p w:rsidR="00A810BB" w:rsidRDefault="00A810BB" w:rsidP="00A810BB">
      <w:pPr>
        <w:autoSpaceDE w:val="0"/>
        <w:autoSpaceDN w:val="0"/>
        <w:adjustRightInd w:val="0"/>
        <w:spacing w:before="220"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>В день проведения ОГЭ на средствах обучения и воспитания не допускается делать пометки, относящиеся к содержанию заданий КИМ ОГЭ по учебным предметам.</w:t>
      </w:r>
    </w:p>
    <w:p w:rsidR="00A810BB" w:rsidRDefault="00A810BB" w:rsidP="00A810BB">
      <w:pPr>
        <w:widowControl w:val="0"/>
        <w:autoSpaceDE w:val="0"/>
        <w:autoSpaceDN w:val="0"/>
        <w:adjustRightInd w:val="0"/>
        <w:spacing w:line="360" w:lineRule="auto"/>
        <w:rPr>
          <w:bCs/>
          <w:sz w:val="28"/>
          <w:szCs w:val="28"/>
        </w:rPr>
      </w:pPr>
    </w:p>
    <w:p w:rsidR="00A810BB" w:rsidRDefault="00A810BB" w:rsidP="00A810BB">
      <w:pPr>
        <w:widowControl w:val="0"/>
        <w:autoSpaceDE w:val="0"/>
        <w:autoSpaceDN w:val="0"/>
        <w:adjustRightInd w:val="0"/>
        <w:spacing w:line="360" w:lineRule="auto"/>
        <w:rPr>
          <w:bCs/>
          <w:sz w:val="28"/>
          <w:szCs w:val="28"/>
        </w:rPr>
      </w:pPr>
    </w:p>
    <w:tbl>
      <w:tblPr>
        <w:tblW w:w="10320" w:type="dxa"/>
        <w:tblLayout w:type="fixed"/>
        <w:tblLook w:val="04A0" w:firstRow="1" w:lastRow="0" w:firstColumn="1" w:lastColumn="0" w:noHBand="0" w:noVBand="1"/>
      </w:tblPr>
      <w:tblGrid>
        <w:gridCol w:w="4789"/>
        <w:gridCol w:w="1277"/>
        <w:gridCol w:w="4254"/>
      </w:tblGrid>
      <w:tr w:rsidR="00A810BB" w:rsidTr="00A810BB">
        <w:tc>
          <w:tcPr>
            <w:tcW w:w="4789" w:type="dxa"/>
            <w:hideMark/>
          </w:tcPr>
          <w:p w:rsidR="00A810BB" w:rsidRDefault="00A810BB">
            <w:pPr>
              <w:tabs>
                <w:tab w:val="left" w:pos="7230"/>
              </w:tabs>
              <w:rPr>
                <w:sz w:val="28"/>
              </w:rPr>
            </w:pPr>
            <w:r>
              <w:rPr>
                <w:sz w:val="28"/>
              </w:rPr>
              <w:t xml:space="preserve">Министр просвещения </w:t>
            </w:r>
          </w:p>
          <w:p w:rsidR="00A810BB" w:rsidRDefault="00A810BB">
            <w:pPr>
              <w:tabs>
                <w:tab w:val="left" w:pos="7230"/>
              </w:tabs>
              <w:rPr>
                <w:sz w:val="28"/>
              </w:rPr>
            </w:pPr>
            <w:r>
              <w:rPr>
                <w:sz w:val="28"/>
              </w:rPr>
              <w:t>Российской Федерации</w:t>
            </w:r>
          </w:p>
        </w:tc>
        <w:tc>
          <w:tcPr>
            <w:tcW w:w="1277" w:type="dxa"/>
          </w:tcPr>
          <w:p w:rsidR="00A810BB" w:rsidRDefault="00A810BB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4"/>
              </w:rPr>
            </w:pPr>
          </w:p>
        </w:tc>
        <w:tc>
          <w:tcPr>
            <w:tcW w:w="4254" w:type="dxa"/>
            <w:hideMark/>
          </w:tcPr>
          <w:p w:rsidR="00A810BB" w:rsidRDefault="00A810BB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rPr>
                <w:rFonts w:eastAsia="Calibri"/>
                <w:sz w:val="28"/>
                <w:szCs w:val="24"/>
              </w:rPr>
            </w:pPr>
            <w:r>
              <w:rPr>
                <w:rFonts w:eastAsia="Calibri"/>
                <w:sz w:val="28"/>
                <w:szCs w:val="24"/>
              </w:rPr>
              <w:t xml:space="preserve">Руководитель </w:t>
            </w:r>
            <w:r>
              <w:rPr>
                <w:rFonts w:eastAsia="Calibri"/>
                <w:spacing w:val="-2"/>
                <w:sz w:val="28"/>
                <w:szCs w:val="24"/>
              </w:rPr>
              <w:t>Федеральной службы по надзору</w:t>
            </w:r>
            <w:r>
              <w:rPr>
                <w:rFonts w:eastAsia="Calibri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A810BB" w:rsidTr="00A810BB">
        <w:tc>
          <w:tcPr>
            <w:tcW w:w="4789" w:type="dxa"/>
          </w:tcPr>
          <w:p w:rsidR="00A810BB" w:rsidRDefault="00A810BB">
            <w:pPr>
              <w:tabs>
                <w:tab w:val="left" w:pos="7230"/>
              </w:tabs>
              <w:rPr>
                <w:sz w:val="28"/>
              </w:rPr>
            </w:pPr>
            <w:r>
              <w:rPr>
                <w:sz w:val="16"/>
              </w:rPr>
              <w:t>МШЭП-2</w:t>
            </w:r>
          </w:p>
          <w:p w:rsidR="00A810BB" w:rsidRDefault="00A810BB">
            <w:pPr>
              <w:tabs>
                <w:tab w:val="left" w:pos="1701"/>
                <w:tab w:val="left" w:pos="7230"/>
              </w:tabs>
              <w:rPr>
                <w:sz w:val="28"/>
              </w:rPr>
            </w:pPr>
            <w:r>
              <w:rPr>
                <w:sz w:val="28"/>
              </w:rPr>
              <w:tab/>
            </w:r>
          </w:p>
          <w:p w:rsidR="00A810BB" w:rsidRDefault="00A810BB">
            <w:pPr>
              <w:tabs>
                <w:tab w:val="left" w:pos="1701"/>
                <w:tab w:val="left" w:pos="7230"/>
              </w:tabs>
              <w:rPr>
                <w:sz w:val="28"/>
              </w:rPr>
            </w:pPr>
          </w:p>
          <w:p w:rsidR="00A810BB" w:rsidRDefault="00A810BB">
            <w:pPr>
              <w:tabs>
                <w:tab w:val="left" w:pos="1701"/>
                <w:tab w:val="left" w:pos="7230"/>
              </w:tabs>
              <w:rPr>
                <w:sz w:val="28"/>
              </w:rPr>
            </w:pPr>
            <w:r>
              <w:rPr>
                <w:sz w:val="28"/>
              </w:rPr>
              <w:t xml:space="preserve">                           С.С. Кравцов</w:t>
            </w:r>
          </w:p>
        </w:tc>
        <w:tc>
          <w:tcPr>
            <w:tcW w:w="1277" w:type="dxa"/>
          </w:tcPr>
          <w:p w:rsidR="00A810BB" w:rsidRDefault="00A810BB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jc w:val="center"/>
              <w:rPr>
                <w:rFonts w:eastAsia="Calibri"/>
                <w:sz w:val="28"/>
                <w:szCs w:val="24"/>
              </w:rPr>
            </w:pPr>
          </w:p>
        </w:tc>
        <w:tc>
          <w:tcPr>
            <w:tcW w:w="4254" w:type="dxa"/>
          </w:tcPr>
          <w:p w:rsidR="00A810BB" w:rsidRDefault="00A810BB">
            <w:pPr>
              <w:tabs>
                <w:tab w:val="left" w:pos="2019"/>
                <w:tab w:val="left" w:pos="7230"/>
              </w:tabs>
              <w:rPr>
                <w:sz w:val="28"/>
              </w:rPr>
            </w:pPr>
          </w:p>
          <w:p w:rsidR="00A810BB" w:rsidRDefault="00A810BB">
            <w:pPr>
              <w:tabs>
                <w:tab w:val="left" w:pos="2019"/>
                <w:tab w:val="left" w:pos="7230"/>
              </w:tabs>
              <w:rPr>
                <w:sz w:val="28"/>
              </w:rPr>
            </w:pPr>
          </w:p>
          <w:p w:rsidR="00A810BB" w:rsidRDefault="00A810BB">
            <w:pPr>
              <w:tabs>
                <w:tab w:val="left" w:pos="2019"/>
                <w:tab w:val="left" w:pos="7230"/>
              </w:tabs>
              <w:rPr>
                <w:sz w:val="28"/>
              </w:rPr>
            </w:pPr>
            <w:r>
              <w:rPr>
                <w:sz w:val="28"/>
              </w:rPr>
              <w:tab/>
              <w:t xml:space="preserve">     А.А. Музаев</w:t>
            </w:r>
          </w:p>
        </w:tc>
      </w:tr>
    </w:tbl>
    <w:p w:rsidR="00D56628" w:rsidRPr="007D4DAB" w:rsidRDefault="00D56628">
      <w:pPr>
        <w:jc w:val="both"/>
        <w:rPr>
          <w:sz w:val="28"/>
          <w:szCs w:val="28"/>
        </w:rPr>
      </w:pPr>
    </w:p>
    <w:p w:rsidR="00D56628" w:rsidRPr="007D4DAB" w:rsidRDefault="00D56628">
      <w:pPr>
        <w:rPr>
          <w:sz w:val="28"/>
          <w:szCs w:val="28"/>
        </w:rPr>
      </w:pPr>
    </w:p>
    <w:sectPr w:rsidR="00D56628" w:rsidRPr="007D4DAB">
      <w:pgSz w:w="11906" w:h="16838" w:code="9"/>
      <w:pgMar w:top="1134" w:right="567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003"/>
    <w:rsid w:val="001F4A73"/>
    <w:rsid w:val="003C4003"/>
    <w:rsid w:val="004E4A99"/>
    <w:rsid w:val="007202C4"/>
    <w:rsid w:val="007D4DAB"/>
    <w:rsid w:val="0096039C"/>
    <w:rsid w:val="009B5E79"/>
    <w:rsid w:val="009F06A7"/>
    <w:rsid w:val="00A616B2"/>
    <w:rsid w:val="00A810BB"/>
    <w:rsid w:val="00AF1D52"/>
    <w:rsid w:val="00B17219"/>
    <w:rsid w:val="00B339A7"/>
    <w:rsid w:val="00CE63EE"/>
    <w:rsid w:val="00D56628"/>
    <w:rsid w:val="00FC2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pPr>
      <w:jc w:val="center"/>
    </w:pPr>
    <w:rPr>
      <w:sz w:val="28"/>
    </w:rPr>
  </w:style>
  <w:style w:type="paragraph" w:customStyle="1" w:styleId="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</w:rPr>
  </w:style>
  <w:style w:type="paragraph" w:customStyle="1" w:styleId="Oiiaee">
    <w:name w:val="Oiia?ee"/>
    <w:basedOn w:val="a"/>
    <w:rPr>
      <w:sz w:val="28"/>
    </w:rPr>
  </w:style>
  <w:style w:type="character" w:styleId="a4">
    <w:name w:val="Hyperlink"/>
    <w:uiPriority w:val="99"/>
    <w:semiHidden/>
    <w:unhideWhenUsed/>
    <w:rsid w:val="00A810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pPr>
      <w:jc w:val="center"/>
    </w:pPr>
    <w:rPr>
      <w:sz w:val="28"/>
    </w:rPr>
  </w:style>
  <w:style w:type="paragraph" w:customStyle="1" w:styleId="1">
    <w:name w:val="заголовок 1"/>
    <w:basedOn w:val="a"/>
    <w:next w:val="a"/>
    <w:pPr>
      <w:keepNext/>
      <w:spacing w:line="240" w:lineRule="atLeast"/>
      <w:jc w:val="center"/>
    </w:pPr>
    <w:rPr>
      <w:spacing w:val="20"/>
      <w:sz w:val="36"/>
    </w:rPr>
  </w:style>
  <w:style w:type="paragraph" w:customStyle="1" w:styleId="Oiiaee">
    <w:name w:val="Oiia?ee"/>
    <w:basedOn w:val="a"/>
    <w:rPr>
      <w:sz w:val="28"/>
    </w:rPr>
  </w:style>
  <w:style w:type="character" w:styleId="a4">
    <w:name w:val="Hyperlink"/>
    <w:uiPriority w:val="99"/>
    <w:semiHidden/>
    <w:unhideWhenUsed/>
    <w:rsid w:val="00A81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1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5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934</Words>
  <Characters>7424</Characters>
  <Application>Microsoft Office Word</Application>
  <DocSecurity>0</DocSecurity>
  <Lines>61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8342</CharactersWithSpaces>
  <SharedDoc>false</SharedDoc>
  <HLinks>
    <vt:vector size="24" baseType="variant">
      <vt:variant>
        <vt:i4>6422635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consultantplus://offline/ref=4034CF97E9073F0A017303583EA54B147964980410959FEE7338E8D4E276BE4074FAFAE9170C577B3793C0E60752670DB298BC7E9E9C486Bh0w0H</vt:lpwstr>
      </vt:variant>
      <vt:variant>
        <vt:lpwstr/>
      </vt:variant>
      <vt:variant>
        <vt:i4>6422576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consultantplus://offline/ref=4034CF97E9073F0A017303583EA54B1479609A0E159E9FEE7338E8D4E276BE4074FAFAE9170C577A3693C0E60752670DB298BC7E9E9C486Bh0w0H</vt:lpwstr>
      </vt:variant>
      <vt:variant>
        <vt:lpwstr/>
      </vt:variant>
      <vt:variant>
        <vt:i4>6422576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consultantplus://offline/ref=4034CF97E9073F0A017303583EA54B1479619C0215929FEE7338E8D4E276BE4074FAFAE9170C577C3793C0E60752670DB298BC7E9E9C486Bh0w0H</vt:lpwstr>
      </vt:variant>
      <vt:variant>
        <vt:lpwstr/>
      </vt:variant>
      <vt:variant>
        <vt:i4>131165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consultantplus://offline/ref=4034CF97E9073F0A017303583EA54B1479609A0418909FEE7338E8D4E276BE4074FAFAEA13095C2C60DCC1BA4200740CBC98BE7782h9wEH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пропа</cp:lastModifiedBy>
  <cp:revision>2</cp:revision>
  <cp:lastPrinted>2018-08-02T06:04:00Z</cp:lastPrinted>
  <dcterms:created xsi:type="dcterms:W3CDTF">2021-04-06T19:27:00Z</dcterms:created>
  <dcterms:modified xsi:type="dcterms:W3CDTF">2021-04-06T19:27:00Z</dcterms:modified>
</cp:coreProperties>
</file>